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749" w:lineRule="atLeast"/>
        <w:ind w:left="0" w:right="0" w:firstLine="0"/>
        <w:jc w:val="center"/>
        <w:outlineLvl w:val="2"/>
        <w:rPr>
          <w:rFonts w:hint="default" w:ascii="Times New Roman" w:hAnsi="Times New Roman" w:eastAsia="微软雅黑" w:cs="Times New Roman"/>
          <w:bCs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Cs/>
          <w:color w:val="333333"/>
          <w:spacing w:val="0"/>
          <w:sz w:val="36"/>
          <w:szCs w:val="36"/>
        </w:rPr>
        <w:t>通化师范学院易制毒化学品管理办法（试行）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第一章  总  则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第一条 </w:t>
      </w:r>
      <w:r>
        <w:rPr>
          <w:rFonts w:hint="eastAsia" w:ascii="仿宋" w:hAnsi="仿宋" w:eastAsia="仿宋" w:cs="仿宋"/>
        </w:rPr>
        <w:t>为加强对易制毒化学品的管理，规范易制毒化学品的购买、保管、储存、使用等行为，保证学校教学、科研工作的正常进行，根据国务院《危险化学品安全管理条例》和《易制毒化学品管理条例》以及公安部门对易制毒化学品的管理要求等相关规定，结合学校实际，制定本办法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第二条 </w:t>
      </w:r>
      <w:r>
        <w:rPr>
          <w:rFonts w:hint="eastAsia" w:ascii="仿宋" w:hAnsi="仿宋" w:eastAsia="仿宋" w:cs="仿宋"/>
        </w:rPr>
        <w:t>本办法所指易制毒化学品分为三类：第一类是可以用于制毒的主要原料，第二类、第三类是可以用于制毒的化学配剂。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第二章  易制毒化学品管理机构及职责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第三条</w:t>
      </w:r>
      <w:r>
        <w:rPr>
          <w:rFonts w:hint="eastAsia" w:ascii="仿宋" w:hAnsi="仿宋" w:eastAsia="仿宋" w:cs="仿宋"/>
        </w:rPr>
        <w:t> 学校易制毒化学品安全管理部门职责分工如下： 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</w:t>
      </w:r>
      <w:r>
        <w:rPr>
          <w:rFonts w:hint="eastAsia" w:ascii="仿宋" w:hAnsi="仿宋" w:eastAsia="仿宋" w:cs="仿宋"/>
          <w:lang w:val="en-US" w:eastAsia="zh-CN"/>
        </w:rPr>
        <w:t>国有</w:t>
      </w:r>
      <w:r>
        <w:rPr>
          <w:rFonts w:hint="eastAsia" w:ascii="仿宋" w:hAnsi="仿宋" w:eastAsia="仿宋" w:cs="仿宋"/>
        </w:rPr>
        <w:t>资产</w:t>
      </w:r>
      <w:r>
        <w:rPr>
          <w:rFonts w:hint="eastAsia" w:ascii="仿宋" w:hAnsi="仿宋" w:eastAsia="仿宋" w:cs="仿宋"/>
          <w:lang w:val="en-US" w:eastAsia="zh-CN"/>
        </w:rPr>
        <w:t>与实验室</w:t>
      </w:r>
      <w:r>
        <w:rPr>
          <w:rFonts w:hint="eastAsia" w:ascii="仿宋" w:hAnsi="仿宋" w:eastAsia="仿宋" w:cs="仿宋"/>
        </w:rPr>
        <w:t>管理处负责全校易制毒化学品的安全监督检查</w:t>
      </w:r>
      <w:r>
        <w:rPr>
          <w:rFonts w:hint="eastAsia" w:ascii="仿宋" w:hAnsi="仿宋" w:eastAsia="仿宋" w:cs="仿宋"/>
          <w:lang w:val="en-US" w:eastAsia="zh-CN"/>
        </w:rPr>
        <w:t>级购买审批</w:t>
      </w:r>
      <w:r>
        <w:rPr>
          <w:rFonts w:hint="eastAsia" w:ascii="仿宋" w:hAnsi="仿宋" w:eastAsia="仿宋" w:cs="仿宋"/>
        </w:rPr>
        <w:t>工作； 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 w:eastAsia="zh-CN"/>
        </w:rPr>
        <w:t>二</w:t>
      </w:r>
      <w:r>
        <w:rPr>
          <w:rFonts w:hint="eastAsia" w:ascii="仿宋" w:hAnsi="仿宋" w:eastAsia="仿宋" w:cs="仿宋"/>
        </w:rPr>
        <w:t>）各院级单位负责本单位易制毒化学品的购买申请、使用和安全管理工作。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第四条</w:t>
      </w:r>
      <w:r>
        <w:rPr>
          <w:rFonts w:hint="eastAsia" w:ascii="仿宋" w:hAnsi="仿宋" w:eastAsia="仿宋" w:cs="仿宋"/>
        </w:rPr>
        <w:t> 使用易制毒化学品的单位要对易制毒化学品实行统一管理，加强安全教育，在本单位内部与各相关责任人逐级落实安全管理责任，做到责任到人。有关人员要严格按照操作程序和要求进行实验，保证易制毒化学品的使用安全。 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第三章  易制毒化学品的采购 </w:t>
      </w:r>
    </w:p>
    <w:p>
      <w:pPr>
        <w:ind w:firstLine="422" w:firstLineChars="200"/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  <w:b/>
          <w:bCs/>
        </w:rPr>
        <w:t>第五条</w:t>
      </w:r>
      <w:r>
        <w:rPr>
          <w:rFonts w:hint="eastAsia" w:ascii="仿宋" w:hAnsi="仿宋" w:eastAsia="仿宋" w:cs="仿宋"/>
        </w:rPr>
        <w:t> </w:t>
      </w:r>
      <w:r>
        <w:rPr>
          <w:rFonts w:hint="eastAsia" w:ascii="仿宋" w:hAnsi="仿宋" w:eastAsia="仿宋" w:cs="仿宋"/>
          <w:color w:val="auto"/>
        </w:rPr>
        <w:t>各部门向</w:t>
      </w:r>
      <w:r>
        <w:rPr>
          <w:rFonts w:hint="eastAsia" w:ascii="仿宋" w:hAnsi="仿宋" w:eastAsia="仿宋" w:cs="仿宋"/>
          <w:color w:val="auto"/>
          <w:lang w:val="en-US" w:eastAsia="zh-CN"/>
        </w:rPr>
        <w:t>国有资产与实验室管理处</w:t>
      </w:r>
      <w:r>
        <w:rPr>
          <w:rFonts w:hint="eastAsia" w:ascii="仿宋" w:hAnsi="仿宋" w:eastAsia="仿宋" w:cs="仿宋"/>
          <w:color w:val="auto"/>
        </w:rPr>
        <w:t>申请购买计划，随用随取，不得留有库存，全年购买量不得超过计划量。 </w:t>
      </w:r>
    </w:p>
    <w:p>
      <w:pPr>
        <w:ind w:firstLine="422" w:firstLineChars="200"/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  <w:b/>
          <w:bCs/>
        </w:rPr>
        <w:t>第六条</w:t>
      </w:r>
      <w:r>
        <w:rPr>
          <w:rFonts w:hint="eastAsia" w:ascii="仿宋" w:hAnsi="仿宋" w:eastAsia="仿宋" w:cs="仿宋"/>
        </w:rPr>
        <w:t> </w:t>
      </w:r>
      <w:r>
        <w:rPr>
          <w:rFonts w:hint="eastAsia" w:ascii="仿宋" w:hAnsi="仿宋" w:eastAsia="仿宋" w:cs="仿宋"/>
          <w:color w:val="auto"/>
          <w:lang w:val="en-US" w:eastAsia="zh-CN"/>
        </w:rPr>
        <w:t>国有资产与实验室管理处</w:t>
      </w:r>
      <w:r>
        <w:rPr>
          <w:rFonts w:hint="eastAsia" w:ascii="仿宋" w:hAnsi="仿宋" w:eastAsia="仿宋" w:cs="仿宋"/>
          <w:color w:val="auto"/>
        </w:rPr>
        <w:t>负责备案，并向有销售资质的供应商统一购买。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第七条 </w:t>
      </w:r>
      <w:r>
        <w:rPr>
          <w:rFonts w:hint="eastAsia" w:ascii="仿宋" w:hAnsi="仿宋" w:eastAsia="仿宋" w:cs="仿宋"/>
        </w:rPr>
        <w:t>学校原则上不允许采购第一类易制毒化学品，特殊情况下必须使用又确无替代品时，应按购买剧毒化学品的申请程序逐级报批，并由</w:t>
      </w:r>
      <w:r>
        <w:rPr>
          <w:rFonts w:hint="eastAsia" w:ascii="仿宋" w:hAnsi="仿宋" w:eastAsia="仿宋" w:cs="仿宋"/>
          <w:lang w:val="en-US" w:eastAsia="zh-CN"/>
        </w:rPr>
        <w:t>国有</w:t>
      </w:r>
      <w:r>
        <w:rPr>
          <w:rFonts w:hint="eastAsia" w:ascii="仿宋" w:hAnsi="仿宋" w:eastAsia="仿宋" w:cs="仿宋"/>
        </w:rPr>
        <w:t>资产</w:t>
      </w:r>
      <w:r>
        <w:rPr>
          <w:rFonts w:hint="eastAsia" w:ascii="仿宋" w:hAnsi="仿宋" w:eastAsia="仿宋" w:cs="仿宋"/>
          <w:lang w:val="en-US" w:eastAsia="zh-CN"/>
        </w:rPr>
        <w:t>与实验室</w:t>
      </w:r>
      <w:r>
        <w:rPr>
          <w:rFonts w:hint="eastAsia" w:ascii="仿宋" w:hAnsi="仿宋" w:eastAsia="仿宋" w:cs="仿宋"/>
        </w:rPr>
        <w:t>管理处统一保管。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第八条</w:t>
      </w:r>
      <w:r>
        <w:rPr>
          <w:rFonts w:hint="eastAsia" w:ascii="仿宋" w:hAnsi="仿宋" w:eastAsia="仿宋" w:cs="仿宋"/>
        </w:rPr>
        <w:t> 各单位要坚持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随用随购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的原则，不得超购超贮。 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第四章  易制毒化学品的使用及处理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第九条</w:t>
      </w:r>
      <w:r>
        <w:rPr>
          <w:rFonts w:hint="eastAsia" w:ascii="仿宋" w:hAnsi="仿宋" w:eastAsia="仿宋" w:cs="仿宋"/>
        </w:rPr>
        <w:t> 易制毒化学品实行购买、发放、使用登记制度。易制毒化学品购入后应及时登记购买台帐。发放时如实记录发放信息。各实验室使用时必须建立使用台帐并填写《通化师范学院易制毒化学品使用记录本》，对使用日期、用途、用量、使用人等信息进行登记，保存3年备查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第十条 </w:t>
      </w:r>
      <w:r>
        <w:rPr>
          <w:rFonts w:hint="eastAsia" w:ascii="仿宋" w:hAnsi="仿宋" w:eastAsia="仿宋" w:cs="仿宋"/>
        </w:rPr>
        <w:t>第一类易制毒化学品的管理应严格执行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五双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制度，即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  <w:lang w:val="en-US" w:eastAsia="zh-CN"/>
        </w:rPr>
        <w:t>双人收发、双人记账、双人双锁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val="en-US" w:eastAsia="zh-CN"/>
        </w:rPr>
        <w:t>双人运输、双人使用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第十一条</w:t>
      </w:r>
      <w:r>
        <w:rPr>
          <w:rFonts w:hint="eastAsia" w:ascii="仿宋" w:hAnsi="仿宋" w:eastAsia="仿宋" w:cs="仿宋"/>
        </w:rPr>
        <w:t> 易制毒化学品的存放场所必须采取安全可靠的防盗措施。易制毒化学品不得与其它化学试剂混放，易燃易爆类和非易燃易爆类要分别存放于不同区域。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第十二条</w:t>
      </w:r>
      <w:r>
        <w:rPr>
          <w:rFonts w:hint="eastAsia" w:ascii="仿宋" w:hAnsi="仿宋" w:eastAsia="仿宋" w:cs="仿宋"/>
        </w:rPr>
        <w:t> 使用易制毒化学品进行实验时，要严格按照操作程序和要求进行操作，保证易制毒化学品的使用安全。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第十三条</w:t>
      </w:r>
      <w:r>
        <w:rPr>
          <w:rFonts w:hint="eastAsia" w:ascii="仿宋" w:hAnsi="仿宋" w:eastAsia="仿宋" w:cs="仿宋"/>
        </w:rPr>
        <w:t> 易制毒化学品的废液、废渣和残液、残渣应严格按照学校相关规定进行处理，严禁将实验产生的易制毒化学品的废弃物乱倒、乱放、随意抛弃。 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第五章  安全与责任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第十四条</w:t>
      </w:r>
      <w:r>
        <w:rPr>
          <w:rFonts w:hint="eastAsia" w:ascii="仿宋" w:hAnsi="仿宋" w:eastAsia="仿宋" w:cs="仿宋"/>
        </w:rPr>
        <w:t> 使用易制毒化学品的各院级单位要依照本管理办法，制订本单位易制毒化学品管理制度，责任落实到人，并经常检查管理制度的落实情况。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第十五条</w:t>
      </w:r>
      <w:r>
        <w:rPr>
          <w:rFonts w:hint="eastAsia" w:ascii="仿宋" w:hAnsi="仿宋" w:eastAsia="仿宋" w:cs="仿宋"/>
        </w:rPr>
        <w:t> 要加强安全教育，树立易制毒化学品安全人人有责的意识。使用易制毒化学品单位要指定专人负责易制毒化学品日常管理工作，确保安全防范设施、措施到位，杜绝各类事故的发生。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第十六条</w:t>
      </w:r>
      <w:r>
        <w:rPr>
          <w:rFonts w:hint="eastAsia" w:ascii="仿宋" w:hAnsi="仿宋" w:eastAsia="仿宋" w:cs="仿宋"/>
        </w:rPr>
        <w:t> 易制毒化学品只可用于教学和科研实验，不得用于其他非法用途。任何单位和个人禁止私自购买、转让和交换易制毒化学品，禁止将易制毒化学品带出实验室或转借给实验室以外人员使用。一经发现，依照国家有关法律、法规追究相关人员责任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第十七条</w:t>
      </w:r>
      <w:r>
        <w:rPr>
          <w:rFonts w:hint="eastAsia" w:ascii="仿宋" w:hAnsi="仿宋" w:eastAsia="仿宋" w:cs="仿宋"/>
        </w:rPr>
        <w:t> 发现易制毒化学品丢失、盗抢等情况，应保护好现场，立即向公安部门报案，并报告学校相关部门。 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第六章  附  则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第十八条</w:t>
      </w:r>
      <w:r>
        <w:rPr>
          <w:rFonts w:hint="eastAsia" w:ascii="仿宋" w:hAnsi="仿宋" w:eastAsia="仿宋" w:cs="仿宋"/>
        </w:rPr>
        <w:t> 本办法由</w:t>
      </w:r>
      <w:r>
        <w:rPr>
          <w:rFonts w:hint="eastAsia" w:ascii="仿宋" w:hAnsi="仿宋" w:eastAsia="仿宋" w:cs="仿宋"/>
          <w:lang w:val="en-US" w:eastAsia="zh-CN"/>
        </w:rPr>
        <w:t>国有</w:t>
      </w:r>
      <w:r>
        <w:rPr>
          <w:rFonts w:hint="eastAsia" w:ascii="仿宋" w:hAnsi="仿宋" w:eastAsia="仿宋" w:cs="仿宋"/>
        </w:rPr>
        <w:t>资产</w:t>
      </w:r>
      <w:r>
        <w:rPr>
          <w:rFonts w:hint="eastAsia" w:ascii="仿宋" w:hAnsi="仿宋" w:eastAsia="仿宋" w:cs="仿宋"/>
          <w:lang w:val="en-US" w:eastAsia="zh-CN"/>
        </w:rPr>
        <w:t>与实验室</w:t>
      </w:r>
      <w:r>
        <w:rPr>
          <w:rFonts w:hint="eastAsia" w:ascii="仿宋" w:hAnsi="仿宋" w:eastAsia="仿宋" w:cs="仿宋"/>
        </w:rPr>
        <w:t>管理处负责解释，未尽事宜执行国家相关规定。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第十九条 </w:t>
      </w:r>
      <w:r>
        <w:rPr>
          <w:rFonts w:hint="eastAsia" w:ascii="仿宋" w:hAnsi="仿宋" w:eastAsia="仿宋" w:cs="仿宋"/>
        </w:rPr>
        <w:t>本办法自公布之日起开始施行。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jRhMWFhNDdjMmRhYzlkY2FmYjA3NjM2ZmYwMjYifQ=="/>
  </w:docVars>
  <w:rsids>
    <w:rsidRoot w:val="69817BAE"/>
    <w:rsid w:val="698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2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2023-10-07T05:53:00Z</dcterms:created>
  <dc:creator>ᶜᴴᴬᴿᴸᴵᴱ</dc:creator>
  <cp:lastModifiedBy>ᶜᴴᴬᴿᴸᴵᴱ</cp:lastModifiedBy>
  <dcterms:modified xsi:type="dcterms:W3CDTF">2023-10-07T05:53:47Z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2F088931B3474D88878D86629C244702_11</vt:lpwstr>
  </property>
</Properties>
</file>